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6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5989"/>
        <w:gridCol w:w="1656"/>
      </w:tblGrid>
      <w:tr w:rsidR="00D81E8A" w:rsidRPr="001671B0" w:rsidTr="00660AF4">
        <w:trPr>
          <w:trHeight w:val="1338"/>
          <w:jc w:val="center"/>
        </w:trPr>
        <w:tc>
          <w:tcPr>
            <w:tcW w:w="1721" w:type="dxa"/>
            <w:shd w:val="clear" w:color="auto" w:fill="auto"/>
            <w:vAlign w:val="center"/>
          </w:tcPr>
          <w:p w:rsidR="00D81E8A" w:rsidRPr="0046763D" w:rsidRDefault="00D81E8A" w:rsidP="00660AF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7F775C53" wp14:editId="211DD1F1">
                  <wp:extent cx="666673" cy="817616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 D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45" cy="84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D81E8A" w:rsidRPr="0059216B" w:rsidRDefault="00D81E8A" w:rsidP="00660AF4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W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GDYNI</w:t>
            </w:r>
          </w:p>
          <w:p w:rsidR="00D81E8A" w:rsidRPr="0059216B" w:rsidRDefault="00D81E8A" w:rsidP="00660AF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Przedsiębiorczości 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Towaroznawstwa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81E8A" w:rsidRPr="0046763D" w:rsidRDefault="00D81E8A" w:rsidP="00660AF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100BD2B6" wp14:editId="309F4086">
                  <wp:extent cx="873979" cy="798498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wpit D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218" cy="801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7ED" w:rsidRPr="00046B5E" w:rsidRDefault="006847ED" w:rsidP="00273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ED" w:rsidRPr="00046B5E" w:rsidRDefault="006847ED" w:rsidP="00273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ED" w:rsidRPr="008F392D" w:rsidRDefault="006847ED" w:rsidP="00273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ZAGADNIENIA </w:t>
      </w:r>
      <w:r w:rsidR="00B86E69" w:rsidRPr="008F3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 EGZAMIN DYPLOMOWY INŻYNIERSKI</w:t>
      </w:r>
    </w:p>
    <w:p w:rsidR="006847ED" w:rsidRPr="008F392D" w:rsidRDefault="00B86E69" w:rsidP="00273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 roku akademickim </w:t>
      </w:r>
      <w:r w:rsidR="00EC2C8F" w:rsidRPr="008F3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2020/2021</w:t>
      </w:r>
    </w:p>
    <w:p w:rsidR="006847ED" w:rsidRPr="008F392D" w:rsidRDefault="006847ED" w:rsidP="00273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307" w:rsidRPr="008F392D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92D">
        <w:rPr>
          <w:rFonts w:ascii="Times New Roman" w:hAnsi="Times New Roman" w:cs="Times New Roman"/>
          <w:color w:val="000000" w:themeColor="text1"/>
          <w:sz w:val="28"/>
          <w:szCs w:val="28"/>
        </w:rPr>
        <w:t>TOWAROZNAWSTWO</w:t>
      </w:r>
    </w:p>
    <w:p w:rsidR="006C7307" w:rsidRPr="008F392D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92D">
        <w:rPr>
          <w:rFonts w:ascii="Times New Roman" w:hAnsi="Times New Roman" w:cs="Times New Roman"/>
          <w:color w:val="000000" w:themeColor="text1"/>
          <w:sz w:val="28"/>
          <w:szCs w:val="28"/>
        </w:rPr>
        <w:t>TOWAROZNAWSTWO I ZARZADZANIE JAKOŚCIĄ</w:t>
      </w:r>
    </w:p>
    <w:p w:rsidR="006C7307" w:rsidRPr="008F392D" w:rsidRDefault="00B86E69" w:rsidP="00273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92D">
        <w:rPr>
          <w:rFonts w:ascii="Times New Roman" w:hAnsi="Times New Roman" w:cs="Times New Roman"/>
          <w:color w:val="000000" w:themeColor="text1"/>
          <w:sz w:val="28"/>
          <w:szCs w:val="28"/>
        </w:rPr>
        <w:t>studia pierwszego stopnia</w:t>
      </w:r>
    </w:p>
    <w:p w:rsidR="006C7307" w:rsidRPr="008F392D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92D">
        <w:rPr>
          <w:rFonts w:ascii="Times New Roman" w:hAnsi="Times New Roman" w:cs="Times New Roman"/>
          <w:color w:val="000000" w:themeColor="text1"/>
          <w:sz w:val="28"/>
          <w:szCs w:val="28"/>
        </w:rPr>
        <w:t>stacjonarne i niestacjonarne</w:t>
      </w:r>
    </w:p>
    <w:p w:rsidR="006C7307" w:rsidRPr="008F392D" w:rsidRDefault="00B5772F" w:rsidP="00273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nabór </w:t>
      </w:r>
      <w:r w:rsidR="006C7307" w:rsidRPr="008F392D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EC2C8F" w:rsidRPr="008F392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C7307" w:rsidRPr="008F392D">
        <w:rPr>
          <w:rFonts w:ascii="Times New Roman" w:hAnsi="Times New Roman" w:cs="Times New Roman"/>
          <w:color w:val="000000" w:themeColor="text1"/>
          <w:sz w:val="28"/>
          <w:szCs w:val="28"/>
        </w:rPr>
        <w:t>/201</w:t>
      </w:r>
      <w:r w:rsidR="00EC2C8F" w:rsidRPr="008F392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6C7307" w:rsidRPr="008F392D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307" w:rsidRPr="00046B5E" w:rsidRDefault="006C7307" w:rsidP="00273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ED" w:rsidRPr="006506D3" w:rsidRDefault="006847ED" w:rsidP="00273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6D3">
        <w:rPr>
          <w:rFonts w:ascii="Times New Roman" w:hAnsi="Times New Roman" w:cs="Times New Roman"/>
          <w:b/>
          <w:sz w:val="24"/>
          <w:szCs w:val="24"/>
        </w:rPr>
        <w:t>Pula kierunkowa</w:t>
      </w:r>
    </w:p>
    <w:p w:rsidR="006847ED" w:rsidRDefault="006847E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Obowiązki pracodawcy w zapewnieniu bezpiecznych i higienicznych warunków pracy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Istota i rodzaje polityki fiskalnej państwa oraz narzędzia jej realizacji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Definicja i rodzaje bezrobocia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Role, funkcje i zadania kierownicze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Rodzaje planów i ich znaczenie dla organizacji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Cele i sposoby motywowania pracowników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Pojęcie populacji generalnej oraz próby w ujęciu wnioskowania statystycznego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Informacja, wiedza, trójkąt wiedzy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Charakterystyka podstawowych składników żywności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Błonnik i gluten – charakterystyka i znaczenie w żywności i w żywieniu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 xml:space="preserve">Aminokwasy </w:t>
      </w:r>
      <w:proofErr w:type="spellStart"/>
      <w:r>
        <w:t>egzo</w:t>
      </w:r>
      <w:proofErr w:type="spellEnd"/>
      <w:r>
        <w:t xml:space="preserve"> i endogenne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Znaczenie biochemii w projektowaniu nowych produktów żywnościowych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Różnica między dezynfekcją a sterylizacją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Wpływ temperatury na przeżywalność drobnoustrojów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 xml:space="preserve">Znaczenie mikroflory psychrotrofowej w kształtowaniu jakości żywności 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Wpływ warunków środowiska na rozwój drobnoustrojów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 xml:space="preserve">Normalizacja i normy – rola i znaczenie 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Jakość – jak ją rozumieć i czy jest potrzebna?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Systemy klasyfikowania towarów i usług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Rodzaje kodowania towarów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Istota orientacji marketingowej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Funkcje opakowania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Istota komunikacji marketingowej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Skutki ekonomiczne i ekologiczne niedoboru wody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Przyczyny i skutki efektu cieplarnianego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 xml:space="preserve">Definicja, przyczyny i skutki eutrofizacji 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Pojęcie świadomości ekologicznej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Metody oznaczania kwasowości produktów spożywczych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Refraktometria i polarymetria w analizie produktów spożywczych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lastRenderedPageBreak/>
        <w:t>Metody oznaczania cukrów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Znaczenie analizy sensorycznej w ocenie jakości towarów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Metody różnicowe wykorzystywane w analizie sensorycznej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Podstawy procesów mechanicznych (rozdrabnianie, rozdzielanie)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Działanie związku powierzchniowo – czynnego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Zastosowanie emulsji w kosmetyce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Modyfikacje powierzchni stosowane we współczesnych materiałach papierniczych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Technologie produkcji wyrobów ceramicznych i szklanych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Ocena towaroznawcza przypraw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Ocena towaroznawcza mleka spożywczego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Ocena towaroznawcza serów twarogowych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Ocena towaroznawcza mlecznych napojów fermentowanych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Ocena towaroznawcza wędlin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Zasady znakowania jaj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Metody utrwalania surowca rybnego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Kryteria klasyfikacji tworzyw sztucznych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Charakterystyka polimerów z odnawialnych źródeł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Towaroznawczy podział włókien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Czynniki determinujące jakość skór futerkowych i licowych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Opakowania inteligentne i aktywne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Znakowanie opakowań związane z ochroną środowiska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Wymagania stawiane współczesnym opakowaniom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Zalety pakowania produktów żywnościowych w atmosferze modyfikowanej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Zanieczyszczenia masy zbożowej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Rodzaje i typy mąk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Kryteria klasyfikacji pieczywa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Typy kulinarne ziemniaka i sposoby ich oznaczenia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Czynniki decydujące o wartości odżywczej owoców lub warzyw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Zmiany przechowalnicze w pieczywie</w:t>
      </w:r>
    </w:p>
    <w:p w:rsidR="00E855FF" w:rsidRDefault="00E855FF" w:rsidP="00E855FF">
      <w:pPr>
        <w:pStyle w:val="Akapitzlist"/>
        <w:numPr>
          <w:ilvl w:val="0"/>
          <w:numId w:val="3"/>
        </w:numPr>
        <w:ind w:left="360"/>
      </w:pPr>
      <w:r>
        <w:t>Zmiany przechowalnicze tłuszczów jadalnych</w:t>
      </w:r>
    </w:p>
    <w:p w:rsidR="007C34A8" w:rsidRPr="00F01515" w:rsidRDefault="00E855FF" w:rsidP="00E855FF">
      <w:pPr>
        <w:pStyle w:val="Akapitzlist"/>
        <w:numPr>
          <w:ilvl w:val="0"/>
          <w:numId w:val="3"/>
        </w:numPr>
        <w:ind w:left="360"/>
      </w:pPr>
      <w:r>
        <w:t>Procesy fizjologiczne jako czynnik kształtujący trwałość przechowalniczą surowców roślinnych</w:t>
      </w:r>
    </w:p>
    <w:p w:rsidR="006847ED" w:rsidRDefault="006847E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7ED" w:rsidRDefault="006847E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7ED" w:rsidRPr="006506D3" w:rsidRDefault="006847ED" w:rsidP="00273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6D3">
        <w:rPr>
          <w:rFonts w:ascii="Times New Roman" w:hAnsi="Times New Roman" w:cs="Times New Roman"/>
          <w:b/>
          <w:sz w:val="24"/>
          <w:szCs w:val="24"/>
        </w:rPr>
        <w:t>Pula specjalnościowa</w:t>
      </w:r>
    </w:p>
    <w:p w:rsidR="006847ED" w:rsidRDefault="006847E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Charakterystyka adsorpcji fizycznej i chemicznej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Zasada działania katalizatorów i inhibitorów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 xml:space="preserve">Charakterystyka koloidów liofobowych i liofilowych 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Struktura materiałów inżynierskich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Twardość materiałów inżynierskich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Przygotowanie próbek w analizie instrumentalnej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Wykorzystanie metod chromatograficznych w analizie żywności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Wykorzystanie metod spektralnych w analizie żywności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Normy ISO serii 9000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Siedem zasad zarządzania jakością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Skuteczność i efektywność systemu zarządzania jakością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Wpływ czynników mikrobiologicznych na jakość żywności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Czynniki wpływające na jakość mikrobiologiczną minimalnie przetworzonych warzyw i owoców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lastRenderedPageBreak/>
        <w:t xml:space="preserve">Wykorzystanie wieloczynnikowych technologii w produkcji żywności typu </w:t>
      </w:r>
      <w:proofErr w:type="spellStart"/>
      <w:r w:rsidRPr="00C76CDB">
        <w:t>fresh-like</w:t>
      </w:r>
      <w:proofErr w:type="spellEnd"/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Kierunki innowacyjności produktowej w światowym i polskim przemyśle spożywczym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Korzyści i negatywne skutki płynące ze stosowania substancji przedłużających trwałość żywności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Mechanizmy działania toksycznego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Istota zagrożeń w transporcie makuchów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Właściwości zbóż istotne z punktu widzenia bezpieczeństwa w transporcie morskim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Metod konserwacji owoców południowych w transporcie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 xml:space="preserve">Kształtowanie warunków </w:t>
      </w:r>
      <w:proofErr w:type="spellStart"/>
      <w:r w:rsidRPr="00C76CDB">
        <w:t>kryptoklimatycznych</w:t>
      </w:r>
      <w:proofErr w:type="spellEnd"/>
      <w:r w:rsidRPr="00C76CDB">
        <w:t xml:space="preserve"> ładowni / kontenera w transporcie morskim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Parametry decydujące o właściwościach niebezpiecznych paliw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Samozagrzewanie ładunków w transporcie morskim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Znakowanie opakowań z towarem niebezpiecznym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Rodzaje auditów w systemie zarządzania jakością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Rodzaje procesów w systemie zarządzania jakością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Pojęcie akredytacji i certyfikacji w systemie oceny zgodności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Pojęcie zachowania konsumenta wg J. Szczepańskiego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Cechy współczesnego konsumenta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Ślad ekologiczny i ślad węglowy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Szacowanie ryzyka związanego z występowaniem zanieczyszczeń środowiskowych w żywności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Definicja pojęcia: produkt ekologiczny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Różnica między procesem i operacją jednostkową w procesie technologicznym na wybranych przykładach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Czynniki determinujące bezpieczeństwo i jakość produktu z technologicznego punktu widzenia.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Strefy higieniczne w przestrzeni produkcji.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Koncepcje rozwiązań proekologicznych we współczesnych magazynach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Systemy zapewnienia bezpieczeństwa żywności w magazynach produktów spożywczych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Korzyści dla organizacji z wdrożenia systemu zarządzania bhp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Najistotniejsze wymagania w systemie zarządzania bhp</w:t>
      </w:r>
    </w:p>
    <w:p w:rsidR="00C76CDB" w:rsidRPr="00C76CDB" w:rsidRDefault="00C76CDB" w:rsidP="00C76CDB">
      <w:pPr>
        <w:pStyle w:val="Akapitzlist"/>
        <w:numPr>
          <w:ilvl w:val="0"/>
          <w:numId w:val="5"/>
        </w:numPr>
      </w:pPr>
      <w:r w:rsidRPr="00C76CDB">
        <w:t>Zasady oceny ryzyka zawodowego w systemie zarządzania bhp</w:t>
      </w:r>
    </w:p>
    <w:p w:rsidR="00BC046D" w:rsidRDefault="00BC046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46D" w:rsidRDefault="00BC046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46D" w:rsidRDefault="00BC046D" w:rsidP="0027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C8F" w:rsidRDefault="00EC2C8F" w:rsidP="00EC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Gdynia, dnia </w:t>
      </w:r>
      <w:r w:rsidR="008F392D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września 2020 roku.</w:t>
      </w:r>
    </w:p>
    <w:p w:rsidR="00BC046D" w:rsidRPr="00E04A86" w:rsidRDefault="00BC046D" w:rsidP="003D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46D" w:rsidRPr="00E04A86" w:rsidSect="00E0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C3638"/>
    <w:multiLevelType w:val="hybridMultilevel"/>
    <w:tmpl w:val="8C54F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FB4FA5"/>
    <w:multiLevelType w:val="hybridMultilevel"/>
    <w:tmpl w:val="4C420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A27E4F"/>
    <w:multiLevelType w:val="hybridMultilevel"/>
    <w:tmpl w:val="FEBC1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A6493"/>
    <w:multiLevelType w:val="hybridMultilevel"/>
    <w:tmpl w:val="E916AD0A"/>
    <w:lvl w:ilvl="0" w:tplc="1CD0B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D53D5"/>
    <w:multiLevelType w:val="hybridMultilevel"/>
    <w:tmpl w:val="CD605AE2"/>
    <w:lvl w:ilvl="0" w:tplc="70D4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47ED"/>
    <w:rsid w:val="00046B5E"/>
    <w:rsid w:val="000E7D77"/>
    <w:rsid w:val="0027352B"/>
    <w:rsid w:val="002B3894"/>
    <w:rsid w:val="003D4578"/>
    <w:rsid w:val="00485246"/>
    <w:rsid w:val="005C4599"/>
    <w:rsid w:val="006506D3"/>
    <w:rsid w:val="006847ED"/>
    <w:rsid w:val="006C7307"/>
    <w:rsid w:val="006D13CA"/>
    <w:rsid w:val="0075447D"/>
    <w:rsid w:val="007A6BE7"/>
    <w:rsid w:val="007C34A8"/>
    <w:rsid w:val="007E431E"/>
    <w:rsid w:val="008F392D"/>
    <w:rsid w:val="009D3780"/>
    <w:rsid w:val="00B24025"/>
    <w:rsid w:val="00B5772F"/>
    <w:rsid w:val="00B86E69"/>
    <w:rsid w:val="00BA538F"/>
    <w:rsid w:val="00BC046D"/>
    <w:rsid w:val="00C76CDB"/>
    <w:rsid w:val="00CC7600"/>
    <w:rsid w:val="00D81E8A"/>
    <w:rsid w:val="00E855FF"/>
    <w:rsid w:val="00EC2C8F"/>
    <w:rsid w:val="00F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93A25-086F-4D91-A9F3-A5E827C6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7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43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E43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E431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43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5FBD-90AA-49EE-AB28-526B2EDA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KChitp</cp:lastModifiedBy>
  <cp:revision>2</cp:revision>
  <dcterms:created xsi:type="dcterms:W3CDTF">2020-09-30T16:02:00Z</dcterms:created>
  <dcterms:modified xsi:type="dcterms:W3CDTF">2020-09-30T16:02:00Z</dcterms:modified>
</cp:coreProperties>
</file>